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Kyselyyn vastasi: </w:t>
      </w:r>
      <w:r w:rsidDel="00000000" w:rsidR="00000000" w:rsidRPr="00000000">
        <w:rPr>
          <w:b w:val="1"/>
          <w:bCs w:val="1"/>
          <w:rtl w:val="0"/>
        </w:rPr>
        <w:t xml:space="preserve">48/150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  <w:t xml:space="preserve">Vastausprosentti: </w:t>
      </w:r>
      <w:r w:rsidDel="00000000" w:rsidR="00000000" w:rsidRPr="00000000">
        <w:rPr>
          <w:b w:val="1"/>
          <w:bCs w:val="1"/>
          <w:rtl w:val="0"/>
        </w:rPr>
        <w:t xml:space="preserve">32% (keväällä 40 %)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  <w:t xml:space="preserve">Kaikkien osa-alueiden yhteenlaskettu prosentti: </w:t>
      </w:r>
      <w:r w:rsidDel="00000000" w:rsidR="00000000" w:rsidRPr="00000000">
        <w:rPr>
          <w:b w:val="1"/>
          <w:bCs w:val="1"/>
          <w:rtl w:val="0"/>
        </w:rPr>
        <w:t xml:space="preserve">4,3/5 (keväällä myös 4,3/5)</w:t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731200" cy="3543300"/>
            <wp:effectExtent b="0" l="0" r="0" t="0"/>
            <wp:docPr descr="Chart" id="1" name="image1.png"/>
            <a:graphic>
              <a:graphicData uri="http://schemas.openxmlformats.org/drawingml/2006/picture">
                <pic:pic>
                  <pic:nvPicPr>
                    <pic:cNvPr descr="Char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Keskiarvot kategorioittain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1650"/>
        <w:gridCol w:w="1650"/>
        <w:gridCol w:w="1650"/>
        <w:gridCol w:w="1650"/>
        <w:gridCol w:w="1650"/>
        <w:tblGridChange w:id="0">
          <w:tblGrid>
            <w:gridCol w:w="1035"/>
            <w:gridCol w:w="1650"/>
            <w:gridCol w:w="1650"/>
            <w:gridCol w:w="1650"/>
            <w:gridCol w:w="1650"/>
            <w:gridCol w:w="16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Ammatillinen osaaminen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Luottamus ja sitoutuneisuus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Työn organisointi ja joustavuus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Työkyky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Työympäristö ja esihenkilöinti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K-a syksy 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4,4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K-a kevät 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4,3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4,6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4,4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4,1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4,3</w:t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